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3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pStyle w:val="953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ПРОТОКОЛ </w:t>
      </w:r>
      <w:r>
        <w:rPr>
          <w:b w:val="0"/>
          <w:sz w:val="22"/>
          <w:szCs w:val="22"/>
        </w:rPr>
        <w:t xml:space="preserve">№ </w:t>
      </w:r>
      <w:r>
        <w:rPr>
          <w:sz w:val="22"/>
          <w:szCs w:val="22"/>
        </w:rPr>
        <w:t xml:space="preserve">251100-3</w: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pStyle w:val="94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очного заседания Закупочной комиссии по рассмотрению, оценке поступивших заявок участников и подведению итогов по предварительному отбору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5"/>
        <w:ind w:left="0" w:right="168" w:firstLine="0"/>
        <w:jc w:val="left"/>
        <w:spacing w:line="240" w:lineRule="auto"/>
        <w:tabs>
          <w:tab w:val="clear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59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51"/>
        <w:gridCol w:w="2976"/>
        <w:gridCol w:w="5671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9"/>
              <w:ind w:right="168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Санкт-Петербург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center"/>
            <w:textDirection w:val="lrTb"/>
            <w:noWrap w:val="false"/>
          </w:tcPr>
          <w:p>
            <w:pPr>
              <w:pStyle w:val="949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Дата составления протокола: </w:t>
            </w:r>
            <w:r>
              <w:rPr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  <w:t xml:space="preserve">.0</w:t>
            </w:r>
            <w:r>
              <w:rPr>
                <w:sz w:val="22"/>
                <w:szCs w:val="22"/>
              </w:rPr>
              <w:t xml:space="preserve">4.2</w:t>
            </w:r>
            <w:r>
              <w:rPr>
                <w:sz w:val="22"/>
                <w:szCs w:val="22"/>
              </w:rPr>
              <w:t xml:space="preserve">02</w:t>
            </w:r>
            <w:r>
              <w:rPr>
                <w:sz w:val="22"/>
                <w:szCs w:val="22"/>
              </w:rPr>
              <w:t xml:space="preserve">5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</w:rPr>
              <w:t xml:space="preserve">Дата подписания протокола: 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  <w:t xml:space="preserve">0.0</w:t>
            </w:r>
            <w:r>
              <w:rPr>
                <w:sz w:val="22"/>
                <w:szCs w:val="22"/>
              </w:rPr>
              <w:t xml:space="preserve">4.202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 xml:space="preserve">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9"/>
              <w:ind w:right="168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top"/>
            <w:textDirection w:val="lrTb"/>
            <w:noWrap w:val="false"/>
          </w:tcPr>
          <w:p>
            <w:pPr>
              <w:pStyle w:val="949"/>
              <w:ind w:right="168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768"/>
        </w:trPr>
        <w:tc>
          <w:tcPr>
            <w:tcBorders>
              <w:bottom w:val="single" w:color="000000" w:sz="4" w:space="0"/>
            </w:tcBorders>
            <w:tcW w:w="1951" w:type="dxa"/>
            <w:vAlign w:val="top"/>
            <w:textDirection w:val="lrTb"/>
            <w:noWrap w:val="false"/>
          </w:tcPr>
          <w:p>
            <w:pPr>
              <w:pStyle w:val="951"/>
              <w:ind w:righ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 предварительного отбора: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647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b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      </w:r>
            <w:r>
              <w:rPr>
                <w:b w:val="0"/>
                <w:bCs w:val="0"/>
                <w:sz w:val="22"/>
                <w:szCs w:val="22"/>
              </w:rPr>
      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      </w:r>
            <w:r>
              <w:rPr>
                <w:b w:val="0"/>
                <w:bCs w:val="0"/>
                <w:sz w:val="22"/>
                <w:szCs w:val="22"/>
              </w:rPr>
      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      </w:r>
            <w:r>
              <w:rPr>
                <w:b w:val="0"/>
                <w:bCs w:val="0"/>
                <w:sz w:val="22"/>
                <w:szCs w:val="22"/>
              </w:rPr>
              <w:t xml:space="preserve">(2511</w:t>
            </w:r>
            <w:r>
              <w:rPr>
                <w:b w:val="0"/>
                <w:bCs w:val="0"/>
                <w:sz w:val="22"/>
                <w:szCs w:val="22"/>
              </w:rPr>
              <w:t xml:space="preserve">00</w:t>
            </w:r>
            <w:r>
              <w:rPr>
                <w:b w:val="0"/>
                <w:bCs w:val="0"/>
                <w:sz w:val="22"/>
                <w:szCs w:val="22"/>
              </w:rPr>
              <w:t xml:space="preserve">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949"/>
        <w:jc w:val="both"/>
        <w:keepLines/>
        <w:keepNext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Повестка дня: Рассмотрение, оценка поступивших заявок участников и подведение итогов по предварительному отбору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keepLines/>
        <w:keepNext/>
        <w:widowControl w:val="off"/>
        <w:rPr>
          <w:b w:val="0"/>
          <w:bCs w:val="0"/>
          <w:sz w:val="22"/>
          <w:szCs w:val="22"/>
        </w:rPr>
        <w:suppressLineNumbers/>
      </w:pP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pStyle w:val="949"/>
        <w:ind w:left="900" w:right="168"/>
        <w:rPr>
          <w:sz w:val="22"/>
          <w:szCs w:val="22"/>
        </w:rPr>
      </w:pPr>
      <w:r>
        <w:rPr>
          <w:sz w:val="22"/>
          <w:szCs w:val="22"/>
        </w:rPr>
        <w:t xml:space="preserve">Дата заседания комиссии: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.0</w:t>
      </w:r>
      <w:r>
        <w:rPr>
          <w:sz w:val="22"/>
          <w:szCs w:val="22"/>
        </w:rPr>
        <w:t xml:space="preserve">4.202</w:t>
      </w:r>
      <w:r>
        <w:rPr>
          <w:sz w:val="22"/>
          <w:szCs w:val="22"/>
        </w:rPr>
        <w:t xml:space="preserve">5 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900" w:right="168"/>
        <w:rPr>
          <w:sz w:val="22"/>
          <w:szCs w:val="22"/>
        </w:rPr>
      </w:pPr>
      <w:r>
        <w:rPr>
          <w:sz w:val="22"/>
          <w:szCs w:val="22"/>
        </w:rPr>
        <w:t xml:space="preserve">Кворум имеется. Комиссия правомочна.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900" w:right="168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2"/>
        </w:numPr>
        <w:ind w:right="168"/>
        <w:rPr>
          <w:sz w:val="22"/>
          <w:szCs w:val="22"/>
        </w:rPr>
      </w:pPr>
      <w:r>
        <w:rPr>
          <w:sz w:val="22"/>
          <w:szCs w:val="22"/>
        </w:rPr>
        <w:t xml:space="preserve">Общая информация о закупке: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Основание проведения закупочной процедуры: </w:t>
      </w:r>
      <w:r>
        <w:rPr>
          <w:sz w:val="22"/>
          <w:szCs w:val="22"/>
        </w:rPr>
        <w:t xml:space="preserve">В соответствии с приказом ПАО «Россети Ленэнерго» от 26.12.2024 № 835 «Об утверждении Плана з</w:t>
      </w:r>
      <w:r>
        <w:rPr>
          <w:sz w:val="22"/>
          <w:szCs w:val="22"/>
        </w:rPr>
        <w:t xml:space="preserve">акупки товаров, работ, услуг ПАО «Россети Ленэнерго» на 2025 год», Единым стандартом закупок ПАО «Россети» (Положение о закупке), решение о присоединении к которому принято Советом директоров ПАО «Россети Ленэнерго» 01.02.2023 (протокол от 02.02.2023 №44)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Извещение </w:t>
      </w:r>
      <w:r>
        <w:rPr>
          <w:sz w:val="22"/>
          <w:szCs w:val="22"/>
        </w:rPr>
        <w:t xml:space="preserve">от 28.03.2024 г. о проведении предварительного отбора, документация о закупке опубликованы 29.03.2024 г. на официальном сайте (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HYPERLINK "http://www.zakupki.gov.ru"</w:instrText>
      </w:r>
      <w:r>
        <w:rPr>
          <w:sz w:val="22"/>
          <w:szCs w:val="22"/>
        </w:rPr>
        <w:fldChar w:fldCharType="separate"/>
      </w:r>
      <w:r>
        <w:rPr>
          <w:rStyle w:val="958"/>
          <w:sz w:val="22"/>
          <w:szCs w:val="22"/>
        </w:rPr>
        <w:t xml:space="preserve">www.zakupki.</w:t>
      </w:r>
      <w:r>
        <w:rPr>
          <w:rStyle w:val="958"/>
          <w:sz w:val="22"/>
          <w:szCs w:val="22"/>
          <w:lang w:val="en-US"/>
        </w:rPr>
        <w:t xml:space="preserve">gov</w:t>
      </w:r>
      <w:r>
        <w:rPr>
          <w:rStyle w:val="958"/>
          <w:sz w:val="22"/>
          <w:szCs w:val="22"/>
        </w:rPr>
        <w:t xml:space="preserve">.ru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),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на сайте ЭТП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"https://www.msp.roseltorg.ru/" </w:instrText>
      </w:r>
      <w:r>
        <w:rPr>
          <w:sz w:val="22"/>
          <w:szCs w:val="22"/>
        </w:rPr>
        <w:fldChar w:fldCharType="separate"/>
      </w:r>
      <w:r>
        <w:rPr>
          <w:rStyle w:val="958"/>
          <w:sz w:val="22"/>
          <w:szCs w:val="22"/>
        </w:rPr>
        <w:fldChar w:fldCharType="begin"/>
      </w:r>
      <w:r>
        <w:rPr>
          <w:rStyle w:val="958"/>
          <w:sz w:val="22"/>
          <w:szCs w:val="22"/>
        </w:rPr>
        <w:instrText xml:space="preserve"> HYPERLINK "https://tender.lot-online.ru/" </w:instrText>
      </w:r>
      <w:r>
        <w:rPr>
          <w:rStyle w:val="958"/>
          <w:sz w:val="22"/>
          <w:szCs w:val="22"/>
        </w:rPr>
        <w:fldChar w:fldCharType="separate"/>
      </w:r>
      <w:r>
        <w:rPr>
          <w:rStyle w:val="958"/>
          <w:sz w:val="22"/>
          <w:szCs w:val="22"/>
        </w:rPr>
        <w:t xml:space="preserve">https://tender.lot-online.ru/</w:t>
      </w:r>
      <w:r>
        <w:rPr>
          <w:rStyle w:val="958"/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Согласно процедуре электронных торгов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"https://www.msp.roseltorg.ru/" </w:instrText>
      </w:r>
      <w:r>
        <w:rPr>
          <w:sz w:val="22"/>
          <w:szCs w:val="22"/>
        </w:rPr>
        <w:fldChar w:fldCharType="separate"/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rStyle w:val="958"/>
          <w:color w:val="000000"/>
          <w:sz w:val="22"/>
          <w:szCs w:val="22"/>
        </w:rPr>
        <w:fldChar w:fldCharType="end"/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29.03.2024 г. объявление № LENER24123DP (номер извещения на сайте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www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zakupki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gov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/223"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958"/>
          <w:sz w:val="22"/>
          <w:szCs w:val="22"/>
          <w:lang w:val="en-US"/>
        </w:rPr>
        <w:t xml:space="preserve">www</w:t>
      </w:r>
      <w:r>
        <w:rPr>
          <w:rStyle w:val="958"/>
          <w:sz w:val="22"/>
          <w:szCs w:val="22"/>
        </w:rPr>
        <w:t xml:space="preserve">.</w:t>
      </w:r>
      <w:r>
        <w:rPr>
          <w:rStyle w:val="958"/>
          <w:sz w:val="22"/>
          <w:szCs w:val="22"/>
          <w:lang w:val="en-US"/>
        </w:rPr>
        <w:t xml:space="preserve">zakupki</w:t>
      </w:r>
      <w:r>
        <w:rPr>
          <w:rStyle w:val="958"/>
          <w:sz w:val="22"/>
          <w:szCs w:val="22"/>
        </w:rPr>
        <w:t xml:space="preserve">.</w:t>
      </w:r>
      <w:r>
        <w:rPr>
          <w:rStyle w:val="958"/>
          <w:sz w:val="22"/>
          <w:szCs w:val="22"/>
          <w:lang w:val="en-US"/>
        </w:rPr>
        <w:t xml:space="preserve">gov</w:t>
      </w:r>
      <w:r>
        <w:rPr>
          <w:rStyle w:val="958"/>
          <w:sz w:val="22"/>
          <w:szCs w:val="22"/>
        </w:rPr>
        <w:t xml:space="preserve">.</w:t>
      </w:r>
      <w:r>
        <w:rPr>
          <w:rStyle w:val="958"/>
          <w:sz w:val="22"/>
          <w:szCs w:val="22"/>
          <w:lang w:val="en-US"/>
        </w:rPr>
        <w:t xml:space="preserve">ru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№ 32413447825) в качестве участников данного предварительного отбора зарегистрировались следующие участники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358" w:type="dxa"/>
        <w:tblInd w:w="0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1276"/>
        <w:gridCol w:w="3642"/>
        <w:gridCol w:w="5440"/>
      </w:tblGrid>
      <w:tr>
        <w:tblPrEx/>
        <w:trPr>
          <w:cantSplit/>
          <w:trHeight w:val="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Дата и время регистрации заявки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предварительного отбора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17.03.2025 13:21:52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"ЭНЕРГОСТРОЙИНВЕСТ"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28.03.2025 09:46:32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</w:tr>
      <w:tr>
        <w:tblPrEx/>
        <w:trPr>
          <w:trHeight w:val="7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28.03.2025 13:17:26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28.03.2025 18:38:03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"СПЕЦСТРОЙ-ИНЖИНИРИНГ"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7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ind w:right="168"/>
              <w:jc w:val="center"/>
              <w:tabs>
                <w:tab w:val="left" w:pos="172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31.03.2025 09:28:25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49"/>
        <w:ind w:right="168"/>
        <w:jc w:val="both"/>
        <w:tabs>
          <w:tab w:val="left" w:pos="172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Начальная (максимальная) цена договора (рамочного соглашения) (цена закупки) - Ценовой лимит рамочного соглашения</w:t>
      </w:r>
      <w:r>
        <w:rPr>
          <w:rFonts w:eastAsia="Calibri"/>
          <w:sz w:val="22"/>
          <w:szCs w:val="22"/>
        </w:rPr>
        <w:t xml:space="preserve">, руб. с НДС/без НДС</w:t>
      </w:r>
      <w:r>
        <w:rPr>
          <w:sz w:val="22"/>
          <w:szCs w:val="22"/>
        </w:rPr>
        <w:t xml:space="preserve">, Срок действия рамочного соглашения (срок выполнения работ)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4947" w:type="pct"/>
        <w:jc w:val="center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310"/>
        <w:gridCol w:w="42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8"/>
        </w:trPr>
        <w:tc>
          <w:tcPr>
            <w:tcW w:w="2979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Ценовой лимит рамочного соглашения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1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действия рамочного соглашения (срок выпол</w:t>
            </w:r>
            <w:r>
              <w:rPr>
                <w:sz w:val="22"/>
                <w:szCs w:val="22"/>
              </w:rPr>
              <w:t xml:space="preserve">нения работ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3"/>
        </w:trPr>
        <w:tc>
          <w:tcPr>
            <w:tcW w:w="2979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общим объемом</w:t>
            </w:r>
            <w:r>
              <w:rPr>
                <w:sz w:val="22"/>
                <w:szCs w:val="22"/>
              </w:rPr>
              <w:t xml:space="preserve"> работ не более </w:t>
            </w:r>
            <w:r>
              <w:rPr>
                <w:sz w:val="22"/>
                <w:szCs w:val="22"/>
              </w:rPr>
              <w:t xml:space="preserve">4 081 351 553,76</w:t>
            </w:r>
            <w:r>
              <w:rPr>
                <w:sz w:val="22"/>
                <w:szCs w:val="22"/>
              </w:rPr>
              <w:t xml:space="preserve">  руб. с</w:t>
            </w:r>
            <w:r>
              <w:rPr>
                <w:bCs/>
                <w:color w:val="000000"/>
                <w:sz w:val="22"/>
                <w:szCs w:val="22"/>
              </w:rPr>
              <w:t xml:space="preserve">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1" w:type="pct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numPr>
          <w:ilvl w:val="0"/>
          <w:numId w:val="2"/>
        </w:numPr>
        <w:ind w:right="170"/>
        <w:jc w:val="both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Закупоч</w:t>
      </w:r>
      <w:r>
        <w:rPr>
          <w:sz w:val="22"/>
          <w:szCs w:val="22"/>
        </w:rPr>
        <w:t xml:space="preserve">ная</w:t>
      </w:r>
      <w:r>
        <w:rPr>
          <w:sz w:val="22"/>
          <w:szCs w:val="22"/>
        </w:rPr>
        <w:t xml:space="preserve"> комиссия рассмотрела и определила: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Сведения общего характера Участников предварительного отбора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по анализу поступивших заявок.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Срок выполнения работ (срок действия рамочного соглашения):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49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9"/>
        <w:gridCol w:w="4393"/>
        <w:gridCol w:w="1986"/>
        <w:gridCol w:w="1842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762"/>
          <w:tblHeader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3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 (срок действия рамочного соглашения) в соответствии с документацией о закупке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 (срок действия рамочного соглашения), предложенный участником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98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3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333"/>
        </w:trPr>
        <w:tc>
          <w:tcPr>
            <w:tcW w:w="569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6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</w:t>
            </w:r>
            <w:r>
              <w:rPr>
                <w:sz w:val="22"/>
                <w:szCs w:val="22"/>
              </w:rPr>
              <w:t xml:space="preserve">.04.2025 - 30.12.2026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ind w:left="42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минимальной правоспособности, квалификации и финансовой устойчивости Участника: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56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6771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771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6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соответствии технической части заявки требованиям документации о закупке на основании выводов экспертов по анализу технической части заявки Участника: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49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7371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6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результатам оценки заявок Закупочная комиссия приняла решение о соответствии/несоответствии требованиям документации о закупке и принятии к дальнейшему рассмотрению заявок следующих Участников: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left="567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88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7"/>
        <w:gridCol w:w="3421"/>
        <w:gridCol w:w="1789"/>
        <w:gridCol w:w="1701"/>
        <w:gridCol w:w="1789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64"/>
          <w:tblHeader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2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предварительного отбора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 (срок действия рамочного соглашения)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правоспособности, квалификации, полноты и качества оформления заявки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технической части заявок Участников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3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56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3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3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3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62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8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Принять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9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2"/>
        <w:numPr>
          <w:ilvl w:val="0"/>
          <w:numId w:val="4"/>
        </w:numPr>
        <w:ind w:left="0" w:firstLine="567"/>
        <w:jc w:val="both"/>
        <w:widowControl w:val="off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Закупочная комиссия решила принять результаты произведенной экспертами экспертизы поступивших заявок в рамках критериев, определенных в документации о закупке по предварительному отбору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58"/>
          <w:color w:val="000000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425" w:right="851" w:bottom="709" w:left="568" w:header="284" w:footer="40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05"/>
        <w:tblW w:w="0" w:type="auto"/>
        <w:tblLook w:val="04A0" w:firstRow="1" w:lastRow="0" w:firstColumn="1" w:lastColumn="0" w:noHBand="0" w:noVBand="1"/>
      </w:tblPr>
      <w:tblGrid>
        <w:gridCol w:w="645"/>
        <w:gridCol w:w="2400"/>
        <w:gridCol w:w="21660"/>
        <w:gridCol w:w="2670"/>
        <w:gridCol w:w="2670"/>
        <w:gridCol w:w="5685"/>
        <w:gridCol w:w="5685"/>
        <w:gridCol w:w="5685"/>
        <w:gridCol w:w="5685"/>
        <w:gridCol w:w="5685"/>
        <w:gridCol w:w="5685"/>
        <w:gridCol w:w="5685"/>
        <w:gridCol w:w="5685"/>
        <w:gridCol w:w="5685"/>
        <w:gridCol w:w="5685"/>
      </w:tblGrid>
      <w:tr>
        <w:tblPrEx/>
        <w:trPr>
          <w:trHeight w:val="1842"/>
        </w:trPr>
        <w:tc>
          <w:tcPr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4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НлЭС 251100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ОБЩЕСТВО С ОГРАНИЧЕННОЙ ОТВЕТСТВЕННОСТЬЮ "ЭНЕРГОСТРОЙИНВЕСТ"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Коллективный участник:  Лидер: ООО ЭЦ "СП" / Участник:  ООО "Парламент" 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Коллективный участник:</w:t>
              <w:br/>
              <w:t xml:space="preserve">Лидер: АО "ЭПИ"  Участник:   ООО "СЭТ"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ООО "СПЕЦСТРОЙ-ИНЖИНИРИНГ"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Коллективный участник :  лидер -ООО «ПЕРВОЕ ПРОФЕССИОНАЛЬНОЕ СООБЩЕСТВО» , участник -  ООО «ПЕТРОСТРОЙ РИТМ»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6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Наименование критериев оценки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требование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Весовой коэффициент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Оценка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Кол-во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968"/>
        </w:trPr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gridSpan w:val="2"/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60" w:type="dxa"/>
            <w:vAlign w:val="center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Опыт выполнения аналогичных работ  с 01.01.2022 года по 01.01.2025 г. (включительно)  не менее 20 млн. руб. с НДС. 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0,4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22,80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57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20,80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23,20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58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19,60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49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20,40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73"/>
        </w:trPr>
        <w:tc>
          <w:tcPr>
            <w:shd w:val="clear" w:color="dae5f1" w:fill="dae5f1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dae5f1" w:fill="dae5f1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Наличие квалифицированных кадровых ресурсов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dae5f1" w:fill="dae5f1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Прораб – с группой по электробезопасности до и выше 1000 В IV группы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0,3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79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Мастер электромонтажного участка, с группой по электробезопасности до и выше 1000 В IV группы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44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Рабочий персонал (бетонщик, каменщик, кабельщик, землекоп, арматурщик, электросварщик)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37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– по ремонту и монтажу кабельных ЛЭП IV группы по электробезопасности до и выше 1000 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06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– по ремонту и монтажу кабельных ЛЭ III группы по электробезопасности до и выше 1000 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6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398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– IV группы по электробезопасности до и выше 1000 В.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67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оборудования – IV группы по электробезопасности до и выше 1000 В.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Электромонтажники оборудования – III группы по электробезопасности до и выше 1000 В.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6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МОП и охрана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3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Главный инженер/заместитель главного инженера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Главный инженер проекта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по согласованию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проектировщик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6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геодезист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эколог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строитель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dae5f1" w:fill="dae5f1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dae5f1" w:fill="dae5f1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Инженер - сметчик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gridSpan w:val="3"/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0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ИТОГО КАДРЫ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34"/>
        </w:trPr>
        <w:tc>
          <w:tcPr>
            <w:shd w:val="clear" w:color="fde9d8" w:fill="fde9d8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Наличие материально-технических ресурсов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de9d8" w:fill="fde9d8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Экскаватор-погрузчик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0,3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222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Экскаватор-бульдозер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Одновальцовый виброкаток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Автокран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Автомобиль бортовой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Автомобиль самосвал (6х4)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Тягач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Автомобиль легковой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Сварочный трансформатор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Передвижной сварочный агрегат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Виброплита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Передвижная компрессорная установка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Отбойный молоток пневмо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Бетонолом пневмо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Мойка для мытья колес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Передвижная осветительная установка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Электротехническая лаборатория (от 10 кВ)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Манипулятор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Установка для ГНБ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Офисное помещение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Электронный тахеометр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1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Дальномер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1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Нивелир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Лицензированный программный комплекс «АО»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Лицензированный программный комплекс «Гранд-Смета»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66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Лицензированный программный комплекс «AutoCAD», либо «nanoCAD» или др. альтернативные программные комплексы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Комплект геодезической аппаратуры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57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Компьютерное и программное обеспечение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МФУ с форматом печати А0-А4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5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Плоттер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de9d8" w:fill="fde9d8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0" w:type="dxa"/>
            <w:vAlign w:val="center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shd w:val="clear" w:color="fde9d8" w:fill="fde9d8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60" w:type="dxa"/>
            <w:vAlign w:val="top"/>
            <w:textDirection w:val="lrTb"/>
            <w:noWrap w:val="false"/>
          </w:tcPr>
          <w:p>
            <w:pPr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Брошюровщик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4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100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gridSpan w:val="3"/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0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ИТОГО МТР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29,03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30,00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b2a1c6" w:fill="b2a1c6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0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ИТОГО БАЛЛОВ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81,83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80,80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83,20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79,60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  <w:t xml:space="preserve">80,40</w:t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  <w:tc>
          <w:tcPr>
            <w:shd w:val="clear" w:color="ffff00" w:fill="ffff00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b w:val="0"/>
                <w:bCs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  <w:r>
              <w:rPr>
                <w:b w:val="0"/>
                <w:bCs w:val="0"/>
                <w:sz w:val="18"/>
                <w:szCs w:val="18"/>
                <w:highlight w:val="none"/>
              </w:rPr>
            </w:r>
          </w:p>
        </w:tc>
      </w:tr>
    </w:tbl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  <w:sectPr>
          <w:footnotePr/>
          <w:endnotePr/>
          <w:type w:val="nextPage"/>
          <w:pgSz w:w="16838" w:h="11906" w:orient="landscape"/>
          <w:pgMar w:top="567" w:right="425" w:bottom="851" w:left="709" w:header="284" w:footer="40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2"/>
        <w:ind w:left="1080"/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82"/>
        <w:ind w:left="1080"/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82"/>
        <w:numPr>
          <w:ilvl w:val="0"/>
          <w:numId w:val="36"/>
        </w:numPr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Закупочная комиссия по результатам голосования решила: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82"/>
        <w:ind w:left="1080"/>
        <w:jc w:val="both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49"/>
        <w:numPr>
          <w:ilvl w:val="0"/>
          <w:numId w:val="24"/>
        </w:numPr>
        <w:ind w:left="0" w:right="-144" w:firstLine="709"/>
        <w:jc w:val="both"/>
        <w:spacing w:after="24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Принимая во внимание </w:t>
      </w:r>
      <w:r>
        <w:rPr>
          <w:sz w:val="22"/>
          <w:szCs w:val="22"/>
        </w:rPr>
        <w:t xml:space="preserve">результаты произведенной экспертами экспертизы поступивших заявок </w:t>
      </w:r>
      <w:r>
        <w:rPr>
          <w:bCs/>
          <w:sz w:val="22"/>
          <w:szCs w:val="22"/>
        </w:rPr>
        <w:t xml:space="preserve">участников по </w:t>
      </w:r>
      <w:r>
        <w:rPr>
          <w:sz w:val="22"/>
          <w:szCs w:val="22"/>
        </w:rPr>
        <w:t xml:space="preserve">предварительному отбору</w:t>
      </w:r>
      <w:r>
        <w:rPr>
          <w:bCs/>
          <w:sz w:val="22"/>
          <w:szCs w:val="22"/>
        </w:rPr>
        <w:t xml:space="preserve"> в электронной форме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</w:t>
      </w:r>
      <w:r>
        <w:rPr>
          <w:sz w:val="22"/>
          <w:szCs w:val="22"/>
        </w:rPr>
        <w:t xml:space="preserve">, п</w:t>
      </w:r>
      <w:r>
        <w:rPr>
          <w:bCs/>
          <w:sz w:val="22"/>
          <w:szCs w:val="22"/>
        </w:rPr>
        <w:t xml:space="preserve">ринять к рассмотрению заявки следующих участников:</w:t>
      </w:r>
      <w:r>
        <w:rPr>
          <w:sz w:val="22"/>
          <w:szCs w:val="22"/>
        </w:rPr>
        <w:t xml:space="preserve">                                                                                              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1063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921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Участники предварительного отбора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4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right="-144"/>
        <w:jc w:val="both"/>
        <w:spacing w:line="276" w:lineRule="auto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соответствии с п. 5.4.4. части </w:t>
      </w:r>
      <w:r>
        <w:rPr>
          <w:sz w:val="22"/>
          <w:szCs w:val="22"/>
          <w:lang w:val="en-US"/>
        </w:rPr>
        <w:t xml:space="preserve">I</w:t>
      </w:r>
      <w:r>
        <w:rPr>
          <w:sz w:val="22"/>
          <w:szCs w:val="22"/>
        </w:rPr>
        <w:t xml:space="preserve"> «ОБЩИЕ УСЛОВИЯ ПРОВЕДЕНИЯ ЗАКУПКИ» документации о закупке признать победителями и заключить рамочные соглашения со следующими участниками предварительного  отбора в электронной форме на электронной торговой площадке </w:t>
      </w:r>
      <w:r>
        <w:rPr>
          <w:sz w:val="22"/>
          <w:szCs w:val="22"/>
          <w:lang w:val="en-US"/>
        </w:rPr>
        <w:t xml:space="preserve">https</w:t>
      </w:r>
      <w:r>
        <w:rPr>
          <w:sz w:val="22"/>
          <w:szCs w:val="22"/>
        </w:rPr>
        <w:t xml:space="preserve">://</w:t>
      </w:r>
      <w:r>
        <w:rPr>
          <w:sz w:val="22"/>
          <w:szCs w:val="22"/>
          <w:lang w:val="en-US"/>
        </w:rPr>
        <w:t xml:space="preserve">tender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lang w:val="en-US"/>
        </w:rPr>
        <w:t xml:space="preserve">lot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online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lang w:val="en-US"/>
        </w:rPr>
        <w:t xml:space="preserve">ru</w:t>
      </w:r>
      <w:r>
        <w:rPr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на право заключения рамочного соглашения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</w:t>
      </w:r>
      <w:r>
        <w:rPr>
          <w:b w:val="0"/>
          <w:bCs w:val="0"/>
          <w:sz w:val="22"/>
          <w:szCs w:val="22"/>
        </w:rPr>
        <w:t xml:space="preserve">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</w:t>
      </w:r>
      <w:r>
        <w:rPr>
          <w:b w:val="0"/>
          <w:bCs w:val="0"/>
          <w:sz w:val="22"/>
          <w:szCs w:val="22"/>
        </w:rPr>
        <w:t xml:space="preserve">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</w:t>
      </w:r>
      <w:r>
        <w:rPr>
          <w:b w:val="0"/>
          <w:bCs w:val="0"/>
          <w:sz w:val="22"/>
          <w:szCs w:val="22"/>
        </w:rPr>
        <w:t xml:space="preserve">(2511</w:t>
      </w:r>
      <w:r>
        <w:rPr>
          <w:b w:val="0"/>
          <w:bCs w:val="0"/>
          <w:sz w:val="22"/>
          <w:szCs w:val="22"/>
        </w:rPr>
        <w:t xml:space="preserve">00</w:t>
      </w:r>
      <w:r>
        <w:rPr>
          <w:b w:val="0"/>
          <w:bCs w:val="0"/>
          <w:sz w:val="22"/>
          <w:szCs w:val="22"/>
        </w:rPr>
        <w:t xml:space="preserve">)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ind w:right="-144"/>
        <w:jc w:val="both"/>
        <w:spacing w:line="276" w:lineRule="auto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632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921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Участники предварительного отбора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"ЭНЕРГОСТРОЙИНВЕСТ"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ЭЦ "СП"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"ПАРЛАМЕНТ" (участник)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АО "ЭНЕРГОПРОЕКТ-ИНЖИНИРИНГ"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"СЭТ"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"СПЕЦСТРОЙ-ИНЖИНИРИНГ"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62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"ПЕРВОЕ ПРОФЕССИОНАЛЬНОЕ СООБЩЕСТВО" (лидер),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ООО "ПЕТРОСТРОЙ-РИТМ" (участник)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49"/>
        <w:ind w:right="-144"/>
        <w:jc w:val="both"/>
        <w:spacing w:line="276" w:lineRule="auto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Срок выполнения работ (срок действия рамочного соглашения): </w:t>
      </w:r>
      <w:r>
        <w:rPr>
          <w:sz w:val="22"/>
          <w:szCs w:val="22"/>
        </w:rPr>
        <w:t xml:space="preserve">с даты заключения договора по </w:t>
      </w:r>
      <w:r>
        <w:rPr>
          <w:sz w:val="22"/>
          <w:szCs w:val="22"/>
        </w:rPr>
        <w:t xml:space="preserve">30.12.2026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Результаты голосования: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tabs>
          <w:tab w:val="num" w:pos="119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«За» - ____ членов комиссии.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«Против» - ____ членов  комиссии.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«Воздержался»  - ____ членов  комиссии.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  <w:t xml:space="preserve">«Отсутствовало» - </w:t>
      </w:r>
      <w:r>
        <w:rPr>
          <w:sz w:val="22"/>
          <w:szCs w:val="22"/>
        </w:rPr>
        <w:t xml:space="preserve"> ____</w:t>
      </w:r>
      <w:r>
        <w:rPr>
          <w:sz w:val="22"/>
          <w:szCs w:val="22"/>
        </w:rPr>
        <w:t xml:space="preserve">членов комиссии.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Подписи членов Закупочной комиссии: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44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40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За/Против/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Возд./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Отсутст.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Подпись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ФИО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Должность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97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Председатель комиссии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Бечик С.Е.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Исполняющий обязанности начальника департамента логистики и МТО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ПАО «Россети Ленэнерго»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4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Заместитель председателя комиссии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Захаров А.В.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по безопасности- начальник департамента безопасности ПАО «Россети Ленэнерго»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2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Члены комиссии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Гаас О.А.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Исполняющий обязанности директора по финансам – начальника департамента финансов </w:t>
              <w:br w:type="textWrapping" w:clear="all"/>
              <w:t xml:space="preserve">ПАО 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98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ind w:left="4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Чумак Ю.В.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ind w:left="4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Подольский В.А.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Заместитель начальника отдела правовой экспертизы </w:t>
              <w:br w:type="textWrapping" w:clear="all"/>
              <w:t xml:space="preserve">ПАО 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148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Батанов П.В.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Заместитель главного инженера </w:t>
              <w:br w:type="textWrapping" w:clear="all"/>
              <w:t xml:space="preserve">по высоковольтным сетям – начальник департамента высоковольтных сетей ПАО 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9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Сафонов А.М.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74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ind w:left="18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9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Поздняков Р.О.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филиала ПАО «Россети Ленэнерго» «НлЭС»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9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Секретарь комиссии (без права голоса)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 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9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Малофеев Д.О.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9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Главный  специалист отдела подготовки и проведения конкурсов ПАО «Россети Ленэнерго»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425" w:right="851" w:bottom="709" w:left="567" w:header="284" w:footer="4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ucida Sans Unicode">
    <w:panose1 w:val="020B0603030804020204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  <w:widowControl w:val="off"/>
      <w:tabs>
        <w:tab w:val="num" w:pos="1418" w:leader="none"/>
      </w:tabs>
      <w:rPr>
        <w:bCs/>
        <w:sz w:val="18"/>
        <w:szCs w:val="18"/>
      </w:rPr>
    </w:pPr>
    <w:r>
      <w:rPr>
        <w:bCs/>
        <w:sz w:val="18"/>
        <w:szCs w:val="18"/>
      </w:rPr>
      <w:t xml:space="preserve">Протокол </w:t>
    </w:r>
    <w:r>
      <w:rPr>
        <w:bCs/>
        <w:sz w:val="18"/>
        <w:szCs w:val="18"/>
      </w:rPr>
      <w:t xml:space="preserve">№ </w:t>
    </w:r>
    <w:r>
      <w:rPr>
        <w:bCs/>
        <w:sz w:val="18"/>
        <w:szCs w:val="18"/>
      </w:rPr>
      <w:t xml:space="preserve">251</w:t>
    </w:r>
    <w:r>
      <w:rPr>
        <w:bCs/>
        <w:sz w:val="18"/>
        <w:szCs w:val="18"/>
      </w:rPr>
      <w:t xml:space="preserve">100</w:t>
    </w:r>
    <w:r>
      <w:rPr>
        <w:bCs/>
        <w:sz w:val="18"/>
        <w:szCs w:val="18"/>
      </w:rPr>
      <w:t xml:space="preserve">-3</w:t>
    </w:r>
    <w:r>
      <w:rPr>
        <w:bCs/>
        <w:sz w:val="18"/>
        <w:szCs w:val="18"/>
      </w:rPr>
    </w:r>
    <w:r>
      <w:rPr>
        <w:bCs/>
        <w:sz w:val="18"/>
        <w:szCs w:val="18"/>
      </w:rPr>
    </w:r>
  </w:p>
  <w:p>
    <w:pPr>
      <w:pStyle w:val="951"/>
      <w:jc w:val="center"/>
      <w:widowControl w:val="off"/>
      <w:tabs>
        <w:tab w:val="num" w:pos="1418" w:leader="none"/>
      </w:tabs>
      <w:rPr>
        <w:bCs/>
        <w:sz w:val="18"/>
        <w:szCs w:val="18"/>
      </w:rPr>
    </w:pPr>
    <w:r>
      <w:rPr>
        <w:bCs/>
        <w:sz w:val="18"/>
        <w:szCs w:val="18"/>
      </w:rPr>
      <w:t xml:space="preserve">страница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PAGE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10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из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NUMPAGES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10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</w:r>
    <w:r>
      <w:rPr>
        <w:bCs/>
        <w:sz w:val="18"/>
        <w:szCs w:val="18"/>
      </w:rPr>
    </w:r>
  </w:p>
  <w:p>
    <w:pPr>
      <w:pStyle w:val="949"/>
      <w:jc w:val="center"/>
      <w:rPr>
        <w:sz w:val="18"/>
        <w:szCs w:val="18"/>
      </w:rPr>
    </w:pPr>
    <w:r>
      <w:rPr>
        <w:sz w:val="18"/>
        <w:szCs w:val="18"/>
      </w:rPr>
    </w:r>
    <w:r>
      <w:rPr>
        <w:sz w:val="18"/>
        <w:szCs w:val="18"/>
      </w:rPr>
    </w:r>
    <w:r>
      <w:rPr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0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64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72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2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84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0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64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72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2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84" w:hanging="180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5"/>
  </w:num>
  <w:num w:numId="3">
    <w:abstractNumId w:val="30"/>
  </w:num>
  <w:num w:numId="4">
    <w:abstractNumId w:val="27"/>
  </w:num>
  <w:num w:numId="5">
    <w:abstractNumId w:val="17"/>
  </w:num>
  <w:num w:numId="6">
    <w:abstractNumId w:val="24"/>
  </w:num>
  <w:num w:numId="7">
    <w:abstractNumId w:val="0"/>
  </w:num>
  <w:num w:numId="8">
    <w:abstractNumId w:val="10"/>
  </w:num>
  <w:num w:numId="9">
    <w:abstractNumId w:val="12"/>
  </w:num>
  <w:num w:numId="10">
    <w:abstractNumId w:val="21"/>
  </w:num>
  <w:num w:numId="11">
    <w:abstractNumId w:val="9"/>
  </w:num>
  <w:num w:numId="12">
    <w:abstractNumId w:val="26"/>
  </w:num>
  <w:num w:numId="13">
    <w:abstractNumId w:val="2"/>
  </w:num>
  <w:num w:numId="14">
    <w:abstractNumId w:val="3"/>
  </w:num>
  <w:num w:numId="15">
    <w:abstractNumId w:val="18"/>
  </w:num>
  <w:num w:numId="16">
    <w:abstractNumId w:val="25"/>
  </w:num>
  <w:num w:numId="17">
    <w:abstractNumId w:val="14"/>
  </w:num>
  <w:num w:numId="18">
    <w:abstractNumId w:val="29"/>
  </w:num>
  <w:num w:numId="19">
    <w:abstractNumId w:val="34"/>
  </w:num>
  <w:num w:numId="20">
    <w:abstractNumId w:val="22"/>
  </w:num>
  <w:num w:numId="21">
    <w:abstractNumId w:val="11"/>
  </w:num>
  <w:num w:numId="22">
    <w:abstractNumId w:val="15"/>
  </w:num>
  <w:num w:numId="23">
    <w:abstractNumId w:val="16"/>
  </w:num>
  <w:num w:numId="24">
    <w:abstractNumId w:val="33"/>
  </w:num>
  <w:num w:numId="25">
    <w:abstractNumId w:val="5"/>
  </w:num>
  <w:num w:numId="26">
    <w:abstractNumId w:val="19"/>
  </w:num>
  <w:num w:numId="27">
    <w:abstractNumId w:val="28"/>
  </w:num>
  <w:num w:numId="28">
    <w:abstractNumId w:val="31"/>
  </w:num>
  <w:num w:numId="29">
    <w:abstractNumId w:val="4"/>
  </w:num>
  <w:num w:numId="30">
    <w:abstractNumId w:val="23"/>
  </w:num>
  <w:num w:numId="31">
    <w:abstractNumId w:val="20"/>
  </w:num>
  <w:num w:numId="32">
    <w:abstractNumId w:val="1"/>
  </w:num>
  <w:num w:numId="33">
    <w:abstractNumId w:val="6"/>
  </w:num>
  <w:num w:numId="34">
    <w:abstractNumId w:val="32"/>
  </w:num>
  <w:num w:numId="35">
    <w:abstractNumId w:val="8"/>
  </w:num>
  <w:num w:numId="36">
    <w:abstractNumId w:val="13"/>
  </w:num>
  <w:num w:numId="37">
    <w:abstractNumId w:val="36"/>
  </w:num>
  <w:num w:numId="38">
    <w:abstractNumId w:val="37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1">
    <w:name w:val="Heading 1"/>
    <w:basedOn w:val="949"/>
    <w:next w:val="949"/>
    <w:link w:val="7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2">
    <w:name w:val="Heading 1 Char"/>
    <w:link w:val="771"/>
    <w:uiPriority w:val="9"/>
    <w:rPr>
      <w:rFonts w:ascii="Arial" w:hAnsi="Arial" w:eastAsia="Arial" w:cs="Arial"/>
      <w:sz w:val="40"/>
      <w:szCs w:val="40"/>
    </w:rPr>
  </w:style>
  <w:style w:type="paragraph" w:styleId="773">
    <w:name w:val="Heading 2"/>
    <w:basedOn w:val="949"/>
    <w:next w:val="949"/>
    <w:link w:val="7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4">
    <w:name w:val="Heading 2 Char"/>
    <w:link w:val="773"/>
    <w:uiPriority w:val="9"/>
    <w:rPr>
      <w:rFonts w:ascii="Arial" w:hAnsi="Arial" w:eastAsia="Arial" w:cs="Arial"/>
      <w:sz w:val="34"/>
    </w:rPr>
  </w:style>
  <w:style w:type="paragraph" w:styleId="775">
    <w:name w:val="Heading 3"/>
    <w:basedOn w:val="949"/>
    <w:next w:val="949"/>
    <w:link w:val="7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6">
    <w:name w:val="Heading 3 Char"/>
    <w:link w:val="775"/>
    <w:uiPriority w:val="9"/>
    <w:rPr>
      <w:rFonts w:ascii="Arial" w:hAnsi="Arial" w:eastAsia="Arial" w:cs="Arial"/>
      <w:sz w:val="30"/>
      <w:szCs w:val="30"/>
    </w:rPr>
  </w:style>
  <w:style w:type="paragraph" w:styleId="777">
    <w:name w:val="Heading 4"/>
    <w:basedOn w:val="949"/>
    <w:next w:val="949"/>
    <w:link w:val="7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8">
    <w:name w:val="Heading 4 Char"/>
    <w:link w:val="777"/>
    <w:uiPriority w:val="9"/>
    <w:rPr>
      <w:rFonts w:ascii="Arial" w:hAnsi="Arial" w:eastAsia="Arial" w:cs="Arial"/>
      <w:b/>
      <w:bCs/>
      <w:sz w:val="26"/>
      <w:szCs w:val="26"/>
    </w:rPr>
  </w:style>
  <w:style w:type="paragraph" w:styleId="779">
    <w:name w:val="Heading 5"/>
    <w:basedOn w:val="949"/>
    <w:next w:val="949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0">
    <w:name w:val="Heading 5 Char"/>
    <w:link w:val="779"/>
    <w:uiPriority w:val="9"/>
    <w:rPr>
      <w:rFonts w:ascii="Arial" w:hAnsi="Arial" w:eastAsia="Arial" w:cs="Arial"/>
      <w:b/>
      <w:bCs/>
      <w:sz w:val="24"/>
      <w:szCs w:val="24"/>
    </w:rPr>
  </w:style>
  <w:style w:type="paragraph" w:styleId="781">
    <w:name w:val="Heading 6"/>
    <w:basedOn w:val="949"/>
    <w:next w:val="949"/>
    <w:link w:val="7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2">
    <w:name w:val="Heading 6 Char"/>
    <w:link w:val="781"/>
    <w:uiPriority w:val="9"/>
    <w:rPr>
      <w:rFonts w:ascii="Arial" w:hAnsi="Arial" w:eastAsia="Arial" w:cs="Arial"/>
      <w:b/>
      <w:bCs/>
      <w:sz w:val="22"/>
      <w:szCs w:val="22"/>
    </w:rPr>
  </w:style>
  <w:style w:type="paragraph" w:styleId="783">
    <w:name w:val="Heading 7"/>
    <w:basedOn w:val="949"/>
    <w:next w:val="949"/>
    <w:link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4">
    <w:name w:val="Heading 7 Char"/>
    <w:link w:val="7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5">
    <w:name w:val="Heading 8"/>
    <w:basedOn w:val="949"/>
    <w:next w:val="949"/>
    <w:link w:val="7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6">
    <w:name w:val="Heading 8 Char"/>
    <w:link w:val="785"/>
    <w:uiPriority w:val="9"/>
    <w:rPr>
      <w:rFonts w:ascii="Arial" w:hAnsi="Arial" w:eastAsia="Arial" w:cs="Arial"/>
      <w:i/>
      <w:iCs/>
      <w:sz w:val="22"/>
      <w:szCs w:val="22"/>
    </w:rPr>
  </w:style>
  <w:style w:type="paragraph" w:styleId="787">
    <w:name w:val="Heading 9"/>
    <w:basedOn w:val="949"/>
    <w:next w:val="949"/>
    <w:link w:val="7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>
    <w:name w:val="Heading 9 Char"/>
    <w:link w:val="787"/>
    <w:uiPriority w:val="9"/>
    <w:rPr>
      <w:rFonts w:ascii="Arial" w:hAnsi="Arial" w:eastAsia="Arial" w:cs="Arial"/>
      <w:i/>
      <w:iCs/>
      <w:sz w:val="21"/>
      <w:szCs w:val="21"/>
    </w:rPr>
  </w:style>
  <w:style w:type="paragraph" w:styleId="789">
    <w:name w:val="List Paragraph"/>
    <w:basedOn w:val="949"/>
    <w:uiPriority w:val="34"/>
    <w:qFormat/>
    <w:pPr>
      <w:contextualSpacing/>
      <w:ind w:left="720"/>
    </w:pPr>
  </w:style>
  <w:style w:type="paragraph" w:styleId="790">
    <w:name w:val="No Spacing"/>
    <w:uiPriority w:val="1"/>
    <w:qFormat/>
    <w:pPr>
      <w:spacing w:before="0" w:after="0" w:line="240" w:lineRule="auto"/>
    </w:pPr>
  </w:style>
  <w:style w:type="paragraph" w:styleId="791">
    <w:name w:val="Title"/>
    <w:basedOn w:val="949"/>
    <w:next w:val="949"/>
    <w:link w:val="7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2">
    <w:name w:val="Title Char"/>
    <w:link w:val="791"/>
    <w:uiPriority w:val="10"/>
    <w:rPr>
      <w:sz w:val="48"/>
      <w:szCs w:val="48"/>
    </w:rPr>
  </w:style>
  <w:style w:type="paragraph" w:styleId="793">
    <w:name w:val="Subtitle"/>
    <w:basedOn w:val="949"/>
    <w:next w:val="949"/>
    <w:link w:val="794"/>
    <w:uiPriority w:val="11"/>
    <w:qFormat/>
    <w:pPr>
      <w:spacing w:before="200" w:after="200"/>
    </w:pPr>
    <w:rPr>
      <w:sz w:val="24"/>
      <w:szCs w:val="24"/>
    </w:rPr>
  </w:style>
  <w:style w:type="character" w:styleId="794">
    <w:name w:val="Subtitle Char"/>
    <w:link w:val="793"/>
    <w:uiPriority w:val="11"/>
    <w:rPr>
      <w:sz w:val="24"/>
      <w:szCs w:val="24"/>
    </w:rPr>
  </w:style>
  <w:style w:type="paragraph" w:styleId="795">
    <w:name w:val="Quote"/>
    <w:basedOn w:val="949"/>
    <w:next w:val="949"/>
    <w:link w:val="796"/>
    <w:uiPriority w:val="29"/>
    <w:qFormat/>
    <w:pPr>
      <w:ind w:left="720" w:right="720"/>
    </w:pPr>
    <w:rPr>
      <w:i/>
    </w:rPr>
  </w:style>
  <w:style w:type="character" w:styleId="796">
    <w:name w:val="Quote Char"/>
    <w:link w:val="795"/>
    <w:uiPriority w:val="29"/>
    <w:rPr>
      <w:i/>
    </w:rPr>
  </w:style>
  <w:style w:type="paragraph" w:styleId="797">
    <w:name w:val="Intense Quote"/>
    <w:basedOn w:val="949"/>
    <w:next w:val="949"/>
    <w:link w:val="7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>
    <w:name w:val="Intense Quote Char"/>
    <w:link w:val="797"/>
    <w:uiPriority w:val="30"/>
    <w:rPr>
      <w:i/>
    </w:rPr>
  </w:style>
  <w:style w:type="paragraph" w:styleId="799">
    <w:name w:val="Header"/>
    <w:basedOn w:val="949"/>
    <w:link w:val="8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0">
    <w:name w:val="Header Char"/>
    <w:link w:val="799"/>
    <w:uiPriority w:val="99"/>
  </w:style>
  <w:style w:type="paragraph" w:styleId="801">
    <w:name w:val="Footer"/>
    <w:basedOn w:val="949"/>
    <w:link w:val="8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2">
    <w:name w:val="Footer Char"/>
    <w:link w:val="801"/>
    <w:uiPriority w:val="99"/>
  </w:style>
  <w:style w:type="paragraph" w:styleId="803">
    <w:name w:val="Caption"/>
    <w:basedOn w:val="949"/>
    <w:next w:val="9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>
    <w:name w:val="Caption Char"/>
    <w:basedOn w:val="803"/>
    <w:link w:val="801"/>
    <w:uiPriority w:val="99"/>
  </w:style>
  <w:style w:type="table" w:styleId="80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1">
    <w:name w:val="Hyperlink"/>
    <w:uiPriority w:val="99"/>
    <w:unhideWhenUsed/>
    <w:rPr>
      <w:color w:val="0000ff" w:themeColor="hyperlink"/>
      <w:u w:val="single"/>
    </w:rPr>
  </w:style>
  <w:style w:type="paragraph" w:styleId="932">
    <w:name w:val="footnote text"/>
    <w:basedOn w:val="949"/>
    <w:link w:val="933"/>
    <w:uiPriority w:val="99"/>
    <w:semiHidden/>
    <w:unhideWhenUsed/>
    <w:pPr>
      <w:spacing w:after="40" w:line="240" w:lineRule="auto"/>
    </w:pPr>
    <w:rPr>
      <w:sz w:val="18"/>
    </w:rPr>
  </w:style>
  <w:style w:type="character" w:styleId="933">
    <w:name w:val="Footnote Text Char"/>
    <w:link w:val="932"/>
    <w:uiPriority w:val="99"/>
    <w:rPr>
      <w:sz w:val="18"/>
    </w:rPr>
  </w:style>
  <w:style w:type="character" w:styleId="934">
    <w:name w:val="footnote reference"/>
    <w:uiPriority w:val="99"/>
    <w:unhideWhenUsed/>
    <w:rPr>
      <w:vertAlign w:val="superscript"/>
    </w:rPr>
  </w:style>
  <w:style w:type="paragraph" w:styleId="935">
    <w:name w:val="endnote text"/>
    <w:basedOn w:val="949"/>
    <w:link w:val="936"/>
    <w:uiPriority w:val="99"/>
    <w:semiHidden/>
    <w:unhideWhenUsed/>
    <w:pPr>
      <w:spacing w:after="0" w:line="240" w:lineRule="auto"/>
    </w:pPr>
    <w:rPr>
      <w:sz w:val="20"/>
    </w:rPr>
  </w:style>
  <w:style w:type="character" w:styleId="936">
    <w:name w:val="Endnote Text Char"/>
    <w:link w:val="935"/>
    <w:uiPriority w:val="99"/>
    <w:rPr>
      <w:sz w:val="20"/>
    </w:rPr>
  </w:style>
  <w:style w:type="character" w:styleId="937">
    <w:name w:val="endnote reference"/>
    <w:uiPriority w:val="99"/>
    <w:semiHidden/>
    <w:unhideWhenUsed/>
    <w:rPr>
      <w:vertAlign w:val="superscript"/>
    </w:rPr>
  </w:style>
  <w:style w:type="paragraph" w:styleId="938">
    <w:name w:val="toc 1"/>
    <w:basedOn w:val="949"/>
    <w:next w:val="949"/>
    <w:uiPriority w:val="39"/>
    <w:unhideWhenUsed/>
    <w:pPr>
      <w:ind w:left="0" w:right="0" w:firstLine="0"/>
      <w:spacing w:after="57"/>
    </w:pPr>
  </w:style>
  <w:style w:type="paragraph" w:styleId="939">
    <w:name w:val="toc 2"/>
    <w:basedOn w:val="949"/>
    <w:next w:val="949"/>
    <w:uiPriority w:val="39"/>
    <w:unhideWhenUsed/>
    <w:pPr>
      <w:ind w:left="283" w:right="0" w:firstLine="0"/>
      <w:spacing w:after="57"/>
    </w:pPr>
  </w:style>
  <w:style w:type="paragraph" w:styleId="940">
    <w:name w:val="toc 3"/>
    <w:basedOn w:val="949"/>
    <w:next w:val="949"/>
    <w:uiPriority w:val="39"/>
    <w:unhideWhenUsed/>
    <w:pPr>
      <w:ind w:left="567" w:right="0" w:firstLine="0"/>
      <w:spacing w:after="57"/>
    </w:pPr>
  </w:style>
  <w:style w:type="paragraph" w:styleId="941">
    <w:name w:val="toc 4"/>
    <w:basedOn w:val="949"/>
    <w:next w:val="949"/>
    <w:uiPriority w:val="39"/>
    <w:unhideWhenUsed/>
    <w:pPr>
      <w:ind w:left="850" w:right="0" w:firstLine="0"/>
      <w:spacing w:after="57"/>
    </w:pPr>
  </w:style>
  <w:style w:type="paragraph" w:styleId="942">
    <w:name w:val="toc 5"/>
    <w:basedOn w:val="949"/>
    <w:next w:val="949"/>
    <w:uiPriority w:val="39"/>
    <w:unhideWhenUsed/>
    <w:pPr>
      <w:ind w:left="1134" w:right="0" w:firstLine="0"/>
      <w:spacing w:after="57"/>
    </w:pPr>
  </w:style>
  <w:style w:type="paragraph" w:styleId="943">
    <w:name w:val="toc 6"/>
    <w:basedOn w:val="949"/>
    <w:next w:val="949"/>
    <w:uiPriority w:val="39"/>
    <w:unhideWhenUsed/>
    <w:pPr>
      <w:ind w:left="1417" w:right="0" w:firstLine="0"/>
      <w:spacing w:after="57"/>
    </w:pPr>
  </w:style>
  <w:style w:type="paragraph" w:styleId="944">
    <w:name w:val="toc 7"/>
    <w:basedOn w:val="949"/>
    <w:next w:val="949"/>
    <w:uiPriority w:val="39"/>
    <w:unhideWhenUsed/>
    <w:pPr>
      <w:ind w:left="1701" w:right="0" w:firstLine="0"/>
      <w:spacing w:after="57"/>
    </w:pPr>
  </w:style>
  <w:style w:type="paragraph" w:styleId="945">
    <w:name w:val="toc 8"/>
    <w:basedOn w:val="949"/>
    <w:next w:val="949"/>
    <w:uiPriority w:val="39"/>
    <w:unhideWhenUsed/>
    <w:pPr>
      <w:ind w:left="1984" w:right="0" w:firstLine="0"/>
      <w:spacing w:after="57"/>
    </w:pPr>
  </w:style>
  <w:style w:type="paragraph" w:styleId="946">
    <w:name w:val="toc 9"/>
    <w:basedOn w:val="949"/>
    <w:next w:val="949"/>
    <w:uiPriority w:val="39"/>
    <w:unhideWhenUsed/>
    <w:pPr>
      <w:ind w:left="2268" w:right="0" w:firstLine="0"/>
      <w:spacing w:after="57"/>
    </w:pPr>
  </w:style>
  <w:style w:type="paragraph" w:styleId="947">
    <w:name w:val="TOC Heading"/>
    <w:uiPriority w:val="39"/>
    <w:unhideWhenUsed/>
  </w:style>
  <w:style w:type="paragraph" w:styleId="948">
    <w:name w:val="table of figures"/>
    <w:basedOn w:val="949"/>
    <w:next w:val="949"/>
    <w:uiPriority w:val="99"/>
    <w:unhideWhenUsed/>
    <w:pPr>
      <w:spacing w:after="0" w:afterAutospacing="0"/>
    </w:pPr>
  </w:style>
  <w:style w:type="paragraph" w:styleId="949" w:default="1">
    <w:name w:val="Normal"/>
    <w:next w:val="949"/>
    <w:link w:val="949"/>
    <w:qFormat/>
    <w:rPr>
      <w:sz w:val="24"/>
      <w:szCs w:val="24"/>
      <w:lang w:val="ru-RU" w:eastAsia="ru-RU" w:bidi="ar-SA"/>
    </w:rPr>
  </w:style>
  <w:style w:type="paragraph" w:styleId="950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49"/>
    <w:next w:val="949"/>
    <w:link w:val="977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951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"/>
    <w:basedOn w:val="949"/>
    <w:next w:val="949"/>
    <w:link w:val="949"/>
    <w:qFormat/>
    <w:pPr>
      <w:jc w:val="both"/>
      <w:keepNext/>
      <w:outlineLvl w:val="1"/>
    </w:pPr>
    <w:rPr>
      <w:sz w:val="24"/>
    </w:rPr>
  </w:style>
  <w:style w:type="paragraph" w:styleId="952">
    <w:name w:val="Заголовок 3"/>
    <w:basedOn w:val="949"/>
    <w:next w:val="949"/>
    <w:link w:val="991"/>
    <w:semiHidden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953">
    <w:name w:val="Заголовок 5"/>
    <w:basedOn w:val="949"/>
    <w:next w:val="949"/>
    <w:link w:val="949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54">
    <w:name w:val="Заголовок 9"/>
    <w:basedOn w:val="949"/>
    <w:next w:val="949"/>
    <w:link w:val="990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55">
    <w:name w:val="Основной шрифт абзаца"/>
    <w:next w:val="955"/>
    <w:link w:val="949"/>
    <w:semiHidden/>
  </w:style>
  <w:style w:type="table" w:styleId="956">
    <w:name w:val="Обычная таблица"/>
    <w:next w:val="956"/>
    <w:link w:val="949"/>
    <w:semiHidden/>
    <w:tblPr/>
  </w:style>
  <w:style w:type="numbering" w:styleId="957">
    <w:name w:val="Нет списка"/>
    <w:next w:val="957"/>
    <w:link w:val="949"/>
    <w:semiHidden/>
  </w:style>
  <w:style w:type="character" w:styleId="958">
    <w:name w:val="Гиперссылка"/>
    <w:next w:val="958"/>
    <w:link w:val="949"/>
    <w:rPr>
      <w:color w:val="0000ff"/>
      <w:u w:val="single"/>
    </w:rPr>
  </w:style>
  <w:style w:type="paragraph" w:styleId="959">
    <w:name w:val="Верхний колонтитул"/>
    <w:basedOn w:val="949"/>
    <w:next w:val="959"/>
    <w:link w:val="970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960">
    <w:name w:val="Нижний колонтитул"/>
    <w:basedOn w:val="949"/>
    <w:next w:val="960"/>
    <w:link w:val="967"/>
    <w:uiPriority w:val="99"/>
    <w:pPr>
      <w:tabs>
        <w:tab w:val="center" w:pos="4677" w:leader="none"/>
        <w:tab w:val="right" w:pos="9355" w:leader="none"/>
      </w:tabs>
    </w:pPr>
  </w:style>
  <w:style w:type="paragraph" w:styleId="961">
    <w:name w:val="Текст выноски"/>
    <w:basedOn w:val="949"/>
    <w:next w:val="961"/>
    <w:link w:val="974"/>
    <w:semiHidden/>
    <w:rPr>
      <w:rFonts w:ascii="Tahoma" w:hAnsi="Tahoma"/>
      <w:sz w:val="16"/>
      <w:szCs w:val="16"/>
      <w:lang w:val="en-US" w:eastAsia="en-US"/>
    </w:rPr>
  </w:style>
  <w:style w:type="paragraph" w:styleId="962">
    <w:name w:val="Основной текст,Основной текст таблиц,в таблице,таблицы,в таблицах, в таблице, в таблицах"/>
    <w:basedOn w:val="949"/>
    <w:next w:val="962"/>
    <w:link w:val="988"/>
    <w:pPr>
      <w:ind w:right="4961"/>
      <w:tabs>
        <w:tab w:val="left" w:pos="4536" w:leader="none"/>
      </w:tabs>
    </w:pPr>
    <w:rPr>
      <w:sz w:val="24"/>
    </w:rPr>
  </w:style>
  <w:style w:type="paragraph" w:styleId="963">
    <w:name w:val="Normal1"/>
    <w:next w:val="963"/>
    <w:link w:val="949"/>
    <w:pPr>
      <w:spacing w:before="100" w:after="100"/>
    </w:pPr>
    <w:rPr>
      <w:sz w:val="24"/>
      <w:lang w:val="ru-RU" w:eastAsia="ru-RU" w:bidi="ar-SA"/>
    </w:rPr>
  </w:style>
  <w:style w:type="paragraph" w:styleId="964">
    <w:name w:val="Нумерованный список"/>
    <w:basedOn w:val="949"/>
    <w:next w:val="964"/>
    <w:link w:val="949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965">
    <w:name w:val="Пункт"/>
    <w:basedOn w:val="949"/>
    <w:next w:val="965"/>
    <w:link w:val="966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66">
    <w:name w:val="Пункт Знак1"/>
    <w:next w:val="966"/>
    <w:link w:val="965"/>
    <w:rPr>
      <w:sz w:val="28"/>
      <w:lang w:val="ru-RU" w:eastAsia="ru-RU" w:bidi="ar-SA"/>
    </w:rPr>
  </w:style>
  <w:style w:type="character" w:styleId="967">
    <w:name w:val="Нижний колонтитул Знак"/>
    <w:next w:val="967"/>
    <w:link w:val="960"/>
    <w:uiPriority w:val="99"/>
    <w:rPr>
      <w:rFonts w:ascii="Times New Roman CYR" w:hAnsi="Times New Roman CYR"/>
      <w:lang w:val="ru-RU" w:eastAsia="ru-RU" w:bidi="ar-SA"/>
    </w:rPr>
  </w:style>
  <w:style w:type="paragraph" w:styleId="968">
    <w:name w:val="Стиль Основной текст с отступом + 12 пт По ширине Слева:  0 см П..."/>
    <w:basedOn w:val="969"/>
    <w:next w:val="968"/>
    <w:link w:val="949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969">
    <w:name w:val="Основной текст с отступом"/>
    <w:basedOn w:val="949"/>
    <w:next w:val="969"/>
    <w:link w:val="981"/>
    <w:pPr>
      <w:ind w:left="283"/>
      <w:spacing w:after="120"/>
    </w:pPr>
    <w:rPr>
      <w:lang w:val="en-US" w:eastAsia="en-US"/>
    </w:rPr>
  </w:style>
  <w:style w:type="character" w:styleId="970">
    <w:name w:val="Верхний колонтитул Знак"/>
    <w:next w:val="970"/>
    <w:link w:val="959"/>
    <w:uiPriority w:val="99"/>
    <w:rPr>
      <w:rFonts w:ascii="Times New Roman CYR" w:hAnsi="Times New Roman CYR"/>
    </w:rPr>
  </w:style>
  <w:style w:type="character" w:styleId="971">
    <w:name w:val="комментарий"/>
    <w:next w:val="971"/>
    <w:link w:val="949"/>
    <w:rPr>
      <w:b/>
      <w:i/>
      <w:shd w:val="clear" w:color="auto" w:fill="ffff99"/>
    </w:rPr>
  </w:style>
  <w:style w:type="paragraph" w:styleId="972">
    <w:name w:val="Заголовок,Название"/>
    <w:basedOn w:val="949"/>
    <w:next w:val="972"/>
    <w:link w:val="973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973">
    <w:name w:val="Название Знак"/>
    <w:next w:val="973"/>
    <w:link w:val="972"/>
    <w:rPr>
      <w:b/>
      <w:sz w:val="22"/>
    </w:rPr>
  </w:style>
  <w:style w:type="character" w:styleId="974">
    <w:name w:val="Текст выноски Знак"/>
    <w:next w:val="974"/>
    <w:link w:val="961"/>
    <w:semiHidden/>
    <w:rPr>
      <w:rFonts w:ascii="Tahoma" w:hAnsi="Tahoma" w:cs="Tahoma"/>
      <w:sz w:val="16"/>
      <w:szCs w:val="16"/>
    </w:rPr>
  </w:style>
  <w:style w:type="paragraph" w:styleId="975">
    <w:name w:val="Обычный2"/>
    <w:next w:val="975"/>
    <w:link w:val="949"/>
    <w:pPr>
      <w:spacing w:before="100" w:after="100"/>
    </w:pPr>
    <w:rPr>
      <w:sz w:val="24"/>
      <w:lang w:val="ru-RU" w:eastAsia="ru-RU" w:bidi="ar-SA"/>
    </w:rPr>
  </w:style>
  <w:style w:type="character" w:styleId="976">
    <w:name w:val="Строгий,0 Текст,0-текст,Заголовок  1"/>
    <w:next w:val="976"/>
    <w:link w:val="949"/>
    <w:uiPriority w:val="22"/>
    <w:qFormat/>
    <w:rPr>
      <w:b/>
      <w:bCs/>
    </w:rPr>
  </w:style>
  <w:style w:type="character" w:styleId="977">
    <w:name w:val="Заголовок 1 Знак"/>
    <w:next w:val="977"/>
    <w:link w:val="950"/>
    <w:rPr>
      <w:rFonts w:ascii="Arial" w:hAnsi="Arial"/>
      <w:b/>
      <w:sz w:val="40"/>
    </w:rPr>
  </w:style>
  <w:style w:type="paragraph" w:styleId="978">
    <w:name w:val="Подпункт"/>
    <w:basedOn w:val="965"/>
    <w:next w:val="978"/>
    <w:link w:val="949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979">
    <w:name w:val="Подподпункт"/>
    <w:basedOn w:val="978"/>
    <w:next w:val="979"/>
    <w:link w:val="980"/>
    <w:pPr>
      <w:ind w:left="1702" w:hanging="567"/>
      <w:tabs>
        <w:tab w:val="clear" w:pos="1276" w:leader="none"/>
        <w:tab w:val="num" w:pos="1702" w:leader="none"/>
      </w:tabs>
    </w:pPr>
  </w:style>
  <w:style w:type="character" w:styleId="980">
    <w:name w:val="Подподпункт Знак"/>
    <w:next w:val="980"/>
    <w:link w:val="979"/>
    <w:rPr>
      <w:sz w:val="28"/>
      <w:lang w:val="en-US" w:eastAsia="en-US"/>
    </w:rPr>
  </w:style>
  <w:style w:type="character" w:styleId="981">
    <w:name w:val="Основной текст с отступом Знак"/>
    <w:next w:val="981"/>
    <w:link w:val="969"/>
    <w:rPr>
      <w:rFonts w:ascii="Times New Roman CYR" w:hAnsi="Times New Roman CYR"/>
    </w:rPr>
  </w:style>
  <w:style w:type="paragraph" w:styleId="982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,UL"/>
    <w:basedOn w:val="949"/>
    <w:next w:val="982"/>
    <w:link w:val="992"/>
    <w:qFormat/>
    <w:pPr>
      <w:contextualSpacing/>
      <w:ind w:left="720"/>
    </w:pPr>
  </w:style>
  <w:style w:type="table" w:styleId="983">
    <w:name w:val="Сетка таблицы"/>
    <w:basedOn w:val="956"/>
    <w:next w:val="983"/>
    <w:link w:val="949"/>
    <w:uiPriority w:val="59"/>
    <w:tblPr/>
  </w:style>
  <w:style w:type="character" w:styleId="984">
    <w:name w:val="Основной текст_"/>
    <w:next w:val="984"/>
    <w:link w:val="985"/>
    <w:rPr>
      <w:sz w:val="18"/>
      <w:szCs w:val="18"/>
      <w:shd w:val="clear" w:color="auto" w:fill="ffffff"/>
    </w:rPr>
  </w:style>
  <w:style w:type="paragraph" w:styleId="985">
    <w:name w:val="Основной текст2"/>
    <w:basedOn w:val="949"/>
    <w:next w:val="985"/>
    <w:link w:val="984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986">
    <w:name w:val="Основной текст с отступом 2"/>
    <w:basedOn w:val="949"/>
    <w:next w:val="986"/>
    <w:link w:val="987"/>
    <w:pPr>
      <w:ind w:left="283"/>
      <w:spacing w:after="120" w:line="480" w:lineRule="auto"/>
    </w:pPr>
  </w:style>
  <w:style w:type="character" w:styleId="987">
    <w:name w:val="Основной текст с отступом 2 Знак"/>
    <w:next w:val="987"/>
    <w:link w:val="986"/>
    <w:rPr>
      <w:rFonts w:ascii="Times New Roman CYR" w:hAnsi="Times New Roman CYR"/>
    </w:rPr>
  </w:style>
  <w:style w:type="character" w:styleId="988">
    <w:name w:val="Основной текст Знак,Основной текст таблиц Знак,в таблице Знак,таблицы Знак,в таблицах Знак, в таблице Знак, в таблицах Знак"/>
    <w:next w:val="988"/>
    <w:link w:val="962"/>
    <w:rPr>
      <w:rFonts w:ascii="Times New Roman CYR" w:hAnsi="Times New Roman CYR"/>
      <w:sz w:val="24"/>
    </w:rPr>
  </w:style>
  <w:style w:type="paragraph" w:styleId="989">
    <w:name w:val="FTN_таб"/>
    <w:basedOn w:val="949"/>
    <w:next w:val="989"/>
    <w:link w:val="949"/>
    <w:pPr>
      <w:jc w:val="both"/>
      <w:widowControl w:val="off"/>
      <w:tabs>
        <w:tab w:val="left" w:pos="709" w:leader="none"/>
      </w:tabs>
    </w:pPr>
    <w:rPr>
      <w:rFonts w:eastAsia="Arial Unicode MS"/>
      <w:sz w:val="22"/>
    </w:rPr>
  </w:style>
  <w:style w:type="character" w:styleId="990">
    <w:name w:val="Заголовок 9 Знак"/>
    <w:next w:val="990"/>
    <w:link w:val="954"/>
    <w:rPr>
      <w:sz w:val="24"/>
      <w:szCs w:val="24"/>
    </w:rPr>
  </w:style>
  <w:style w:type="character" w:styleId="991">
    <w:name w:val="Заголовок 3 Знак"/>
    <w:next w:val="991"/>
    <w:link w:val="952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992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next w:val="992"/>
    <w:link w:val="982"/>
    <w:qFormat/>
    <w:rPr>
      <w:sz w:val="24"/>
      <w:szCs w:val="24"/>
    </w:rPr>
  </w:style>
  <w:style w:type="paragraph" w:styleId="993">
    <w:name w:val="Table Contents"/>
    <w:basedOn w:val="949"/>
    <w:next w:val="993"/>
    <w:link w:val="949"/>
    <w:pPr>
      <w:widowControl w:val="off"/>
      <w:suppressLineNumbers/>
    </w:pPr>
    <w:rPr>
      <w:rFonts w:eastAsia="Lucida Sans Unicode" w:cs="Tahoma"/>
      <w:lang w:bidi="ru-RU"/>
    </w:rPr>
  </w:style>
  <w:style w:type="character" w:styleId="994">
    <w:name w:val="Просмотренная гиперссылка"/>
    <w:next w:val="994"/>
    <w:link w:val="949"/>
    <w:rPr>
      <w:color w:val="800080"/>
      <w:u w:val="single"/>
    </w:rPr>
  </w:style>
  <w:style w:type="paragraph" w:styleId="995">
    <w:name w:val="Название объекта"/>
    <w:basedOn w:val="949"/>
    <w:next w:val="949"/>
    <w:link w:val="949"/>
    <w:semiHidden/>
    <w:unhideWhenUsed/>
    <w:qFormat/>
    <w:rPr>
      <w:b/>
      <w:bCs/>
      <w:sz w:val="20"/>
      <w:szCs w:val="20"/>
    </w:rPr>
  </w:style>
  <w:style w:type="character" w:styleId="996" w:default="1">
    <w:name w:val="Default Paragraph Font"/>
    <w:uiPriority w:val="1"/>
    <w:semiHidden/>
    <w:unhideWhenUsed/>
  </w:style>
  <w:style w:type="numbering" w:styleId="997" w:default="1">
    <w:name w:val="No List"/>
    <w:uiPriority w:val="99"/>
    <w:semiHidden/>
    <w:unhideWhenUsed/>
  </w:style>
  <w:style w:type="table" w:styleId="9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creator>Korotkina.OF</dc:creator>
  <cp:revision>40</cp:revision>
  <dcterms:created xsi:type="dcterms:W3CDTF">2023-03-09T08:39:00Z</dcterms:created>
  <dcterms:modified xsi:type="dcterms:W3CDTF">2025-04-09T14:44:37Z</dcterms:modified>
  <cp:version>1048576</cp:version>
</cp:coreProperties>
</file>